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769B" w:rsidRDefault="00B4769B" w:rsidP="00B4769B">
      <w:pPr>
        <w:spacing w:line="480" w:lineRule="auto"/>
        <w:jc w:val="center"/>
      </w:pPr>
      <w:bookmarkStart w:id="0" w:name="_GoBack"/>
      <w:bookmarkEnd w:id="0"/>
    </w:p>
    <w:p w:rsidR="00B4769B" w:rsidRDefault="00B4769B" w:rsidP="00B4769B">
      <w:pPr>
        <w:spacing w:line="480" w:lineRule="auto"/>
        <w:jc w:val="center"/>
      </w:pPr>
    </w:p>
    <w:p w:rsidR="00B4769B" w:rsidRDefault="00B4769B" w:rsidP="00B4769B">
      <w:pPr>
        <w:spacing w:line="480" w:lineRule="auto"/>
        <w:jc w:val="center"/>
      </w:pPr>
    </w:p>
    <w:p w:rsidR="00B4769B" w:rsidRDefault="00B4769B" w:rsidP="00B4769B">
      <w:pPr>
        <w:spacing w:line="480" w:lineRule="auto"/>
        <w:jc w:val="center"/>
      </w:pPr>
    </w:p>
    <w:p w:rsidR="00B4769B" w:rsidRDefault="00B4769B" w:rsidP="00B4769B">
      <w:pPr>
        <w:spacing w:line="480" w:lineRule="auto"/>
        <w:jc w:val="center"/>
      </w:pPr>
    </w:p>
    <w:p w:rsidR="00B4769B" w:rsidRDefault="00B4769B" w:rsidP="00B4769B">
      <w:pPr>
        <w:spacing w:line="480" w:lineRule="auto"/>
        <w:jc w:val="center"/>
      </w:pPr>
    </w:p>
    <w:p w:rsidR="00B4769B" w:rsidRDefault="00B4769B" w:rsidP="00B4769B">
      <w:pPr>
        <w:spacing w:line="480" w:lineRule="auto"/>
        <w:jc w:val="center"/>
      </w:pPr>
      <w:r>
        <w:t xml:space="preserve">Introduction to </w:t>
      </w:r>
      <w:r w:rsidR="00542ADC">
        <w:t>Li</w:t>
      </w:r>
      <w:r>
        <w:t>terature</w:t>
      </w:r>
    </w:p>
    <w:p w:rsidR="00B4769B" w:rsidRDefault="00B4769B" w:rsidP="00B4769B">
      <w:pPr>
        <w:spacing w:line="480" w:lineRule="auto"/>
        <w:jc w:val="center"/>
      </w:pPr>
      <w:r>
        <w:t>Name</w:t>
      </w:r>
    </w:p>
    <w:p w:rsidR="0026548B" w:rsidRDefault="00B4769B" w:rsidP="00B4769B">
      <w:pPr>
        <w:spacing w:line="480" w:lineRule="auto"/>
        <w:jc w:val="center"/>
      </w:pPr>
      <w:r>
        <w:t>Institution of Affiliation</w:t>
      </w:r>
      <w:r w:rsidR="0026548B">
        <w:br w:type="page"/>
      </w:r>
    </w:p>
    <w:p w:rsidR="00FD594F" w:rsidRDefault="008A5AAA" w:rsidP="00FD594F">
      <w:pPr>
        <w:spacing w:line="480" w:lineRule="auto"/>
        <w:jc w:val="center"/>
      </w:pPr>
      <w:r>
        <w:lastRenderedPageBreak/>
        <w:t>Introduction to L</w:t>
      </w:r>
      <w:r w:rsidR="00FD594F">
        <w:t>iterature</w:t>
      </w:r>
    </w:p>
    <w:p w:rsidR="00FD594F" w:rsidRDefault="00FD594F" w:rsidP="00FD594F">
      <w:pPr>
        <w:spacing w:line="480" w:lineRule="auto"/>
      </w:pPr>
      <w:r>
        <w:t>Question 1</w:t>
      </w:r>
    </w:p>
    <w:p w:rsidR="00FD594F" w:rsidRDefault="00FD594F" w:rsidP="00FD594F">
      <w:pPr>
        <w:spacing w:line="480" w:lineRule="auto"/>
      </w:pPr>
      <w:r>
        <w:t xml:space="preserve"> Benedictines were the founders of modern capitalism as they lent a hand in providing a regular collective synchrony of the bell’s sounding. In arranging their daily routines on a basis of twenty four hours, as shown in the canonical hours, i.e., vigil, matins, laud, prime, terce, vespers, compline, and none that represented a series of hours for morning, noon, and evening showed their anticipation of a subsequent stage of modernization (Mumford, 1967). Organic time signifies a time when modernization was absent and everything was basic for example the Gregorian calendar ,while the mechanical time refers to when mechanization became evolved for example the mechanical clock.</w:t>
      </w:r>
    </w:p>
    <w:p w:rsidR="00FD594F" w:rsidRDefault="00FD594F" w:rsidP="00FD594F">
      <w:pPr>
        <w:spacing w:line="480" w:lineRule="auto"/>
      </w:pPr>
      <w:r>
        <w:t>Question 2</w:t>
      </w:r>
    </w:p>
    <w:p w:rsidR="002F6C42" w:rsidRDefault="00FD594F" w:rsidP="00FD594F">
      <w:pPr>
        <w:spacing w:line="480" w:lineRule="auto"/>
      </w:pPr>
      <w:r>
        <w:t>Joyce Nelson observes how mannequins are modelled to attract the congregation by imagining that they would look as glamorous as the mannequins. She claims that fashion has evolved to the point some are termed as worst dressed while others best dressed to signify that there are commandments that govern fashion (Nelson</w:t>
      </w:r>
      <w:r w:rsidR="006B2A06">
        <w:t>,</w:t>
      </w:r>
      <w:r>
        <w:t xml:space="preserve"> 1994).  She also notices with concern that assertions are made by companies such as </w:t>
      </w:r>
      <w:r w:rsidR="00781C82">
        <w:t>Coca-Cola</w:t>
      </w:r>
      <w:r>
        <w:t xml:space="preserve"> statement that claimed to add “life” to people’s lives. </w:t>
      </w:r>
      <w:r w:rsidR="00781C82">
        <w:t>Her political point at the end of the essay is that</w:t>
      </w:r>
      <w:r>
        <w:t xml:space="preserve"> the religion of acquisitio</w:t>
      </w:r>
      <w:r w:rsidR="004C0B00">
        <w:t>n i</w:t>
      </w:r>
      <w:r>
        <w:t>s a condition where people are indulged or get involved without really knowing or noticing that they are committed to it.</w:t>
      </w:r>
    </w:p>
    <w:p w:rsidR="002D0459" w:rsidRDefault="002D0459" w:rsidP="00FD594F">
      <w:pPr>
        <w:spacing w:line="480" w:lineRule="auto"/>
      </w:pPr>
      <w:r>
        <w:t>Question 3</w:t>
      </w:r>
    </w:p>
    <w:p w:rsidR="00C3154D" w:rsidRDefault="00C3154D" w:rsidP="002D0459">
      <w:pPr>
        <w:pStyle w:val="ListParagraph"/>
        <w:numPr>
          <w:ilvl w:val="0"/>
          <w:numId w:val="1"/>
        </w:numPr>
        <w:spacing w:line="480" w:lineRule="auto"/>
      </w:pPr>
      <w:r>
        <w:t>Baldwin’s relation with his father was an extensive source of hurt. He mentions that several times that he had developed hatred toward his father and described him as judgmental, cruel, and impatient to both the people around him and his children. This caused their relationship to be strained. Besides, Baldwin had not known his father well because they failed to get on well because of their different ideologies and fashions, which cultivated the vice of stubborn price between them.</w:t>
      </w:r>
      <w:r w:rsidR="00A92018">
        <w:t xml:space="preserve"> As they drove him to his resting place, Baldwin remembered his father’s texts and songs, which he had decided to perceive them as meaningless. Now they were laid bare waiting to hold the meaning that life would give them to him</w:t>
      </w:r>
      <w:r w:rsidR="0071118D">
        <w:t xml:space="preserve"> (Baldwin, 1984)</w:t>
      </w:r>
      <w:r w:rsidR="00A92018">
        <w:t>. This was his legacy from his father; nothing ever escaped, including the unbelievable streets, the bleak mornings he hated, and the Whites and Negroes that had made them that way.</w:t>
      </w:r>
    </w:p>
    <w:p w:rsidR="00895A76" w:rsidRDefault="00895A76" w:rsidP="007A76F9">
      <w:pPr>
        <w:pStyle w:val="ListParagraph"/>
        <w:numPr>
          <w:ilvl w:val="0"/>
          <w:numId w:val="1"/>
        </w:numPr>
        <w:spacing w:line="480" w:lineRule="auto"/>
      </w:pPr>
      <w:r>
        <w:t>In the year that he lived in New Jersey, Baldwin learned that being Negro meant that one was at the mercy of the reflexes the color of their skin caused in other people. Precisely, one was never looked at; he was invisible to others. It was when living in New Jersey that he contracted some dread chronic disease, which had an unprecedented predilection for being a Negro. This disease was depicted as an unfailing symptom of fire in the bowels, a pounding skull, and a blind fever</w:t>
      </w:r>
      <w:r w:rsidR="0071118D">
        <w:t xml:space="preserve"> (Baldwin, 1984)</w:t>
      </w:r>
      <w:r>
        <w:t xml:space="preserve">. Once, an individual contracted this disease, they could not be carefree again because the fever could relapse without </w:t>
      </w:r>
      <w:r w:rsidR="00E82CEE">
        <w:t>warning and</w:t>
      </w:r>
      <w:r>
        <w:t xml:space="preserve"> it could destroy more important things than racial relations.</w:t>
      </w:r>
    </w:p>
    <w:p w:rsidR="00794608" w:rsidRDefault="00794608" w:rsidP="005D2246">
      <w:pPr>
        <w:pStyle w:val="ListParagraph"/>
        <w:numPr>
          <w:ilvl w:val="0"/>
          <w:numId w:val="1"/>
        </w:numPr>
        <w:spacing w:line="480" w:lineRule="auto"/>
      </w:pPr>
      <w:r>
        <w:t>While sitting at his father’s funeral, Baldwin could perceive his father in a different light, one that showed both his positive and negative features</w:t>
      </w:r>
      <w:r w:rsidR="003D48B5">
        <w:t>. It dawned on him that he had inherited his father’s intolerable bitterness of spirit.</w:t>
      </w:r>
      <w:r w:rsidR="00EE699A">
        <w:t xml:space="preserve"> He knew it was reckless, as his father would have put it, to have this bitterness. It was only logical to hold on to the things that mattered. His new life mattered and his dead father mattered. However, whiteness and blackness barely mattered and to presume that they did was to consent to one’s own annihilation. Hatred destroyed so much and never spared the man who hated.</w:t>
      </w:r>
      <w:r w:rsidR="00EC16FD">
        <w:t xml:space="preserve"> He would have to hold two contrasting ideas in his mind. The first one being that of acceptance without resentment of life as it is and men as they are. In light of this notion, it would go without saying that injustice is common entity. However, this does not allow someone to be complacent</w:t>
      </w:r>
      <w:r w:rsidR="004773FC">
        <w:t xml:space="preserve"> for the second idea has an equal and opposing power</w:t>
      </w:r>
      <w:r w:rsidR="0071118D">
        <w:t xml:space="preserve"> (Baldwin, 1994)</w:t>
      </w:r>
      <w:r w:rsidR="004773FC">
        <w:t>.</w:t>
      </w:r>
      <w:r w:rsidR="00654B87">
        <w:t xml:space="preserve"> One must never, in their own life, accept injustices as common but must strive to fight them with all their strength. This struggle emanates from the heart and is laid bare for him to shield his heart from hatred and despair. This revelation made Baldwin’s heart heavy, now that his father was gone. He wished that he had been beside him so that he could search in his face the answers that only the future could give him.</w:t>
      </w:r>
    </w:p>
    <w:p w:rsidR="006B2A06" w:rsidRDefault="006B2A06" w:rsidP="00E402D6">
      <w:pPr>
        <w:spacing w:line="480" w:lineRule="auto"/>
      </w:pPr>
      <w:r>
        <w:t xml:space="preserve">Question </w:t>
      </w:r>
      <w:r w:rsidR="00E402D6">
        <w:t>4</w:t>
      </w:r>
    </w:p>
    <w:p w:rsidR="00E402D6" w:rsidRDefault="00E402D6" w:rsidP="00E402D6">
      <w:pPr>
        <w:spacing w:line="480" w:lineRule="auto"/>
      </w:pPr>
      <w:r>
        <w:t>In the film, “Boys and Girls”, the truck is used to symbolize the gender distinctiveness in the toys they can use to play with boys more predisposed to use such toys as trucks while older men are predisposed to use such heavy vehicles as trucks.</w:t>
      </w:r>
    </w:p>
    <w:p w:rsidR="00751F93" w:rsidRDefault="00751F93">
      <w:r>
        <w:br w:type="page"/>
      </w:r>
    </w:p>
    <w:p w:rsidR="00572A46" w:rsidRDefault="00751F93" w:rsidP="0071118D">
      <w:pPr>
        <w:spacing w:line="480" w:lineRule="auto"/>
        <w:jc w:val="center"/>
      </w:pPr>
      <w:r>
        <w:t>References</w:t>
      </w:r>
    </w:p>
    <w:p w:rsidR="00751F93" w:rsidRDefault="00751F93" w:rsidP="00913E12">
      <w:pPr>
        <w:spacing w:after="0" w:line="480" w:lineRule="auto"/>
        <w:ind w:left="720" w:hanging="720"/>
        <w:rPr>
          <w:rFonts w:eastAsia="Times New Roman" w:cs="Times New Roman"/>
          <w:szCs w:val="24"/>
        </w:rPr>
      </w:pPr>
      <w:r w:rsidRPr="00751F93">
        <w:rPr>
          <w:rFonts w:eastAsia="Times New Roman" w:cs="Times New Roman"/>
          <w:szCs w:val="24"/>
        </w:rPr>
        <w:t xml:space="preserve">Baldwin, J. (1984). </w:t>
      </w:r>
      <w:r w:rsidRPr="00751F93">
        <w:rPr>
          <w:rFonts w:eastAsia="Times New Roman" w:cs="Times New Roman"/>
          <w:i/>
          <w:iCs/>
          <w:szCs w:val="24"/>
        </w:rPr>
        <w:t>Notes of a native son</w:t>
      </w:r>
      <w:r w:rsidRPr="00751F93">
        <w:rPr>
          <w:rFonts w:eastAsia="Times New Roman" w:cs="Times New Roman"/>
          <w:szCs w:val="24"/>
        </w:rPr>
        <w:t xml:space="preserve"> (Vol. 39). Beacon Press.</w:t>
      </w:r>
    </w:p>
    <w:p w:rsidR="006B2A06" w:rsidRPr="00751F93" w:rsidRDefault="006B2A06" w:rsidP="00913E12">
      <w:pPr>
        <w:spacing w:after="0" w:line="480" w:lineRule="auto"/>
        <w:ind w:left="720" w:hanging="720"/>
        <w:rPr>
          <w:rFonts w:eastAsia="Times New Roman" w:cs="Times New Roman"/>
          <w:szCs w:val="24"/>
        </w:rPr>
      </w:pPr>
      <w:r>
        <w:t xml:space="preserve">Mumford, L. (1967). The Myth of the Machine, 2 vols. </w:t>
      </w:r>
      <w:r>
        <w:rPr>
          <w:i/>
          <w:iCs/>
        </w:rPr>
        <w:t>New York</w:t>
      </w:r>
      <w:r>
        <w:t xml:space="preserve">, </w:t>
      </w:r>
      <w:r>
        <w:rPr>
          <w:i/>
          <w:iCs/>
        </w:rPr>
        <w:t>1970</w:t>
      </w:r>
    </w:p>
    <w:p w:rsidR="00751F93" w:rsidRDefault="00751F93" w:rsidP="0071118D">
      <w:pPr>
        <w:spacing w:line="480" w:lineRule="auto"/>
      </w:pPr>
    </w:p>
    <w:sectPr w:rsidR="00751F93" w:rsidSect="0026548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2C7B" w:rsidRDefault="00002C7B" w:rsidP="0026548B">
      <w:pPr>
        <w:spacing w:after="0" w:line="240" w:lineRule="auto"/>
      </w:pPr>
      <w:r>
        <w:separator/>
      </w:r>
    </w:p>
  </w:endnote>
  <w:endnote w:type="continuationSeparator" w:id="0">
    <w:p w:rsidR="00002C7B" w:rsidRDefault="00002C7B" w:rsidP="002654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2C7B" w:rsidRDefault="00002C7B" w:rsidP="0026548B">
      <w:pPr>
        <w:spacing w:after="0" w:line="240" w:lineRule="auto"/>
      </w:pPr>
      <w:r>
        <w:separator/>
      </w:r>
    </w:p>
  </w:footnote>
  <w:footnote w:type="continuationSeparator" w:id="0">
    <w:p w:rsidR="00002C7B" w:rsidRDefault="00002C7B" w:rsidP="002654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548B" w:rsidRDefault="0026548B">
    <w:pPr>
      <w:pStyle w:val="Header"/>
      <w:jc w:val="right"/>
    </w:pPr>
    <w:r>
      <w:t>QUIZ 4</w:t>
    </w:r>
    <w:r>
      <w:tab/>
    </w:r>
    <w:r>
      <w:tab/>
    </w:r>
    <w:sdt>
      <w:sdtPr>
        <w:id w:val="-196880771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96C37">
          <w:rPr>
            <w:noProof/>
          </w:rPr>
          <w:t>2</w:t>
        </w:r>
        <w:r>
          <w:rPr>
            <w:noProof/>
          </w:rPr>
          <w:fldChar w:fldCharType="end"/>
        </w:r>
      </w:sdtContent>
    </w:sdt>
  </w:p>
  <w:p w:rsidR="0026548B" w:rsidRDefault="0026548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2B73" w:rsidRDefault="00062B73">
    <w:pPr>
      <w:pStyle w:val="Header"/>
    </w:pPr>
    <w:r>
      <w:t>Running head: QUIZ 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E86B33"/>
    <w:multiLevelType w:val="hybridMultilevel"/>
    <w:tmpl w:val="4150124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594F"/>
    <w:rsid w:val="00002C7B"/>
    <w:rsid w:val="00062B73"/>
    <w:rsid w:val="0026548B"/>
    <w:rsid w:val="002D0459"/>
    <w:rsid w:val="002F6C42"/>
    <w:rsid w:val="003D48B5"/>
    <w:rsid w:val="004773FC"/>
    <w:rsid w:val="004C0B00"/>
    <w:rsid w:val="00542ADC"/>
    <w:rsid w:val="00572A46"/>
    <w:rsid w:val="005D2246"/>
    <w:rsid w:val="00654B87"/>
    <w:rsid w:val="006B2A06"/>
    <w:rsid w:val="0071118D"/>
    <w:rsid w:val="00751F93"/>
    <w:rsid w:val="00781C82"/>
    <w:rsid w:val="00794608"/>
    <w:rsid w:val="007A76F9"/>
    <w:rsid w:val="00895A76"/>
    <w:rsid w:val="008A5AAA"/>
    <w:rsid w:val="00913E12"/>
    <w:rsid w:val="00A92018"/>
    <w:rsid w:val="00B4769B"/>
    <w:rsid w:val="00C3154D"/>
    <w:rsid w:val="00C422EA"/>
    <w:rsid w:val="00CA3705"/>
    <w:rsid w:val="00E402D6"/>
    <w:rsid w:val="00E82CEE"/>
    <w:rsid w:val="00EC16FD"/>
    <w:rsid w:val="00EE699A"/>
    <w:rsid w:val="00F96C37"/>
    <w:rsid w:val="00FD59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0459"/>
    <w:pPr>
      <w:ind w:left="720"/>
      <w:contextualSpacing/>
    </w:pPr>
  </w:style>
  <w:style w:type="paragraph" w:styleId="Header">
    <w:name w:val="header"/>
    <w:basedOn w:val="Normal"/>
    <w:link w:val="HeaderChar"/>
    <w:uiPriority w:val="99"/>
    <w:unhideWhenUsed/>
    <w:rsid w:val="002654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548B"/>
  </w:style>
  <w:style w:type="paragraph" w:styleId="Footer">
    <w:name w:val="footer"/>
    <w:basedOn w:val="Normal"/>
    <w:link w:val="FooterChar"/>
    <w:uiPriority w:val="99"/>
    <w:unhideWhenUsed/>
    <w:rsid w:val="002654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548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0459"/>
    <w:pPr>
      <w:ind w:left="720"/>
      <w:contextualSpacing/>
    </w:pPr>
  </w:style>
  <w:style w:type="paragraph" w:styleId="Header">
    <w:name w:val="header"/>
    <w:basedOn w:val="Normal"/>
    <w:link w:val="HeaderChar"/>
    <w:uiPriority w:val="99"/>
    <w:unhideWhenUsed/>
    <w:rsid w:val="002654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548B"/>
  </w:style>
  <w:style w:type="paragraph" w:styleId="Footer">
    <w:name w:val="footer"/>
    <w:basedOn w:val="Normal"/>
    <w:link w:val="FooterChar"/>
    <w:uiPriority w:val="99"/>
    <w:unhideWhenUsed/>
    <w:rsid w:val="002654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54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52515">
      <w:bodyDiv w:val="1"/>
      <w:marLeft w:val="0"/>
      <w:marRight w:val="0"/>
      <w:marTop w:val="0"/>
      <w:marBottom w:val="0"/>
      <w:divBdr>
        <w:top w:val="none" w:sz="0" w:space="0" w:color="auto"/>
        <w:left w:val="none" w:sz="0" w:space="0" w:color="auto"/>
        <w:bottom w:val="none" w:sz="0" w:space="0" w:color="auto"/>
        <w:right w:val="none" w:sz="0" w:space="0" w:color="auto"/>
      </w:divBdr>
      <w:divsChild>
        <w:div w:id="2609217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729</Words>
  <Characters>4160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2020-06-25T12:41:00Z</dcterms:created>
  <dcterms:modified xsi:type="dcterms:W3CDTF">2020-06-25T12:41:00Z</dcterms:modified>
</cp:coreProperties>
</file>